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9.png" ContentType="image/png"/>
  <Override PartName="/word/media/image10.png" ContentType="image/png"/>
  <Override PartName="/word/media/image1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SMILE</w:t>
      </w:r>
      <w:r>
        <w:t xml:space="preserve"> </w:t>
      </w:r>
      <w:r>
        <w:t xml:space="preserve">Curriculum</w:t>
      </w:r>
      <w:r>
        <w:t xml:space="preserve"> </w:t>
      </w:r>
      <w:r>
        <w:t xml:space="preserve">·</w:t>
      </w:r>
      <w:r>
        <w:t xml:space="preserve"> </w:t>
      </w:r>
      <w:r>
        <w:t xml:space="preserve">Module</w:t>
      </w:r>
      <w:r>
        <w:t xml:space="preserve"> </w:t>
      </w:r>
      <w:r>
        <w:t xml:space="preserve">1:</w:t>
      </w:r>
      <w:r>
        <w:t xml:space="preserve"> </w:t>
      </w:r>
      <w:r>
        <w:t xml:space="preserve">Communication</w:t>
      </w:r>
    </w:p>
    <w:p>
      <w:pPr>
        <w:pStyle w:val="Subtitle"/>
      </w:pPr>
      <w:r>
        <w:t xml:space="preserve">English</w:t>
      </w:r>
      <w:r>
        <w:t xml:space="preserve"> </w:t>
      </w:r>
      <w:r>
        <w:t xml:space="preserve">edition</w:t>
      </w:r>
      <w:r>
        <w:t xml:space="preserve"> </w:t>
      </w:r>
      <w:r>
        <w:t xml:space="preserve">·</w:t>
      </w:r>
      <w:r>
        <w:t xml:space="preserve"> </w:t>
      </w:r>
      <w:r>
        <w:t xml:space="preserve">October</w:t>
      </w:r>
      <w:r>
        <w:t xml:space="preserve"> </w:t>
      </w:r>
      <w:r>
        <w:t xml:space="preserve">2026</w:t>
      </w:r>
    </w:p>
    <w:bookmarkStart w:id="33" w:name="X315a1db08643bbc956600ede9a5afaf9ba63c3a"/>
    <w:p>
      <w:pPr>
        <w:pStyle w:val="Heading1"/>
      </w:pPr>
      <w:r>
        <w:t xml:space="preserve">SMILE Project: Action-Based</w:t>
      </w:r>
      <w:r>
        <w:t xml:space="preserve"> </w:t>
      </w:r>
      <w:r>
        <w:t xml:space="preserve">“</w:t>
      </w:r>
      <w:r>
        <w:t xml:space="preserve">Communication</w:t>
      </w:r>
      <w:r>
        <w:t xml:space="preserve">”</w:t>
      </w:r>
      <w:r>
        <w:t xml:space="preserve"> </w:t>
      </w:r>
      <w:r>
        <w:t xml:space="preserve">Curriculum for Young Migrants</w:t>
      </w:r>
    </w:p>
    <w:p>
      <w:pPr>
        <w:pStyle w:val="FirstParagraph"/>
      </w:pPr>
      <w:r>
        <w:t xml:space="preserve">This document has been prepared in line with the core objectives of the</w:t>
      </w:r>
      <w:r>
        <w:t xml:space="preserve"> </w:t>
      </w:r>
      <w:r>
        <w:rPr>
          <w:bCs/>
          <w:b/>
        </w:rPr>
        <w:t xml:space="preserve">SMILE</w:t>
      </w:r>
      <w:r>
        <w:t xml:space="preserve"> </w:t>
      </w:r>
      <w:r>
        <w:t xml:space="preserve">project, with the aim of ensuring the employability of young migrants and their successful integration into the workplace. Instead of traditional and theoretical communication training, it has been designed as an interactive</w:t>
      </w:r>
      <w:r>
        <w:t xml:space="preserve"> </w:t>
      </w:r>
      <w:r>
        <w:t xml:space="preserve">“</w:t>
      </w:r>
      <w:r>
        <w:t xml:space="preserve">Communication</w:t>
      </w:r>
      <w:r>
        <w:t xml:space="preserve">”</w:t>
      </w:r>
      <w:r>
        <w:t xml:space="preserve"> </w:t>
      </w:r>
      <w:r>
        <w:t xml:space="preserve">training module that focuses directly on young people’s needs, their cultural differences and the expectations of the professional world of work.</w:t>
      </w:r>
    </w:p>
    <w:bookmarkStart w:id="20" w:name="X42e0e38a8ebf33fe38e530244c97577fd8bd5c0"/>
    <w:p>
      <w:pPr>
        <w:pStyle w:val="Heading2"/>
      </w:pPr>
      <w:r>
        <w:t xml:space="preserve">1. Module Summary: Communication in Real Life and in the Workplace</w:t>
      </w:r>
    </w:p>
    <w:p>
      <w:pPr>
        <w:pStyle w:val="FirstParagraph"/>
      </w:pPr>
      <w:r>
        <w:t xml:space="preserve">This module highlights communication skills as a key factor in the employment of young migrants and their successful integration into the workplace. By addressing common challenges related to language, cultural differences and professional norms, it helps participants express themselves clearly and confidently in work environments. Through practical examples, case studies, role-play activities and reflection exercises, participants develop strong verbal, non-verbal and interpersonal communication skills. The module also underlines the importance of respectful, inclusive and supportive communication in creating fair and positive working environments.</w:t>
      </w:r>
    </w:p>
    <w:bookmarkEnd w:id="20"/>
    <w:bookmarkStart w:id="21" w:name="learning-outcomes-what-will-we-achieve"/>
    <w:p>
      <w:pPr>
        <w:pStyle w:val="Heading2"/>
      </w:pPr>
      <w:r>
        <w:t xml:space="preserve">2. Learning Outcomes (What Will We Achieve?)</w:t>
      </w:r>
    </w:p>
    <w:p>
      <w:pPr>
        <w:pStyle w:val="FirstParagraph"/>
      </w:pPr>
      <w:r>
        <w:t xml:space="preserve">By the end of this module, participants will be able to:</w:t>
      </w:r>
    </w:p>
    <w:p>
      <w:pPr>
        <w:numPr>
          <w:ilvl w:val="0"/>
          <w:numId w:val="1001"/>
        </w:numPr>
        <w:pStyle w:val="Compact"/>
      </w:pPr>
      <w:r>
        <w:t xml:space="preserve">Explain the role of communication skills in employment and workplace integration.</w:t>
      </w:r>
    </w:p>
    <w:p>
      <w:pPr>
        <w:numPr>
          <w:ilvl w:val="0"/>
          <w:numId w:val="1001"/>
        </w:numPr>
        <w:pStyle w:val="Compact"/>
      </w:pPr>
      <w:r>
        <w:t xml:space="preserve">Identify common communication challenges related to language, culture and professional norms (expectations).</w:t>
      </w:r>
    </w:p>
    <w:p>
      <w:pPr>
        <w:numPr>
          <w:ilvl w:val="0"/>
          <w:numId w:val="1001"/>
        </w:numPr>
        <w:pStyle w:val="Compact"/>
      </w:pPr>
      <w:r>
        <w:t xml:space="preserve">Understand the impact of effective communication on building inclusive and respectful work environments.</w:t>
      </w:r>
    </w:p>
    <w:p>
      <w:pPr>
        <w:numPr>
          <w:ilvl w:val="0"/>
          <w:numId w:val="1001"/>
        </w:numPr>
        <w:pStyle w:val="Compact"/>
      </w:pPr>
      <w:r>
        <w:t xml:space="preserve">Apply practical strategies for clear and confident communication in work-related settings.</w:t>
      </w:r>
    </w:p>
    <w:p>
      <w:pPr>
        <w:numPr>
          <w:ilvl w:val="0"/>
          <w:numId w:val="1001"/>
        </w:numPr>
        <w:pStyle w:val="Compact"/>
      </w:pPr>
      <w:r>
        <w:t xml:space="preserve">Demonstrate verbal, non-verbal and interpersonal communication skills (in practice) through role-play and real-life scenarios.</w:t>
      </w:r>
    </w:p>
    <w:p>
      <w:pPr>
        <w:numPr>
          <w:ilvl w:val="0"/>
          <w:numId w:val="1001"/>
        </w:numPr>
        <w:pStyle w:val="Compact"/>
      </w:pPr>
      <w:r>
        <w:t xml:space="preserve">Reflect on their own communication strengths and areas for development in the workplace context (carry out a self-assessment).</w:t>
      </w:r>
    </w:p>
    <w:bookmarkEnd w:id="21"/>
    <w:bookmarkStart w:id="28" w:name="X1c890d5671ceb9fb3105900fab9f3ba8b7d571e"/>
    <w:p>
      <w:pPr>
        <w:pStyle w:val="Heading2"/>
      </w:pPr>
      <w:r>
        <w:t xml:space="preserve">3. Curriculum Content and Youth-Focused Sessions</w:t>
      </w:r>
    </w:p>
    <w:bookmarkStart w:id="22" w:name="X8f5dd0891ca11e4b28de2b22998c2e243803a3e"/>
    <w:p>
      <w:pPr>
        <w:pStyle w:val="Heading3"/>
      </w:pPr>
      <w:r>
        <w:t xml:space="preserve">Session 1: Introduction and Foundations (1 hour)</w:t>
      </w:r>
    </w:p>
    <w:p>
      <w:pPr>
        <w:numPr>
          <w:ilvl w:val="0"/>
          <w:numId w:val="1002"/>
        </w:numPr>
        <w:pStyle w:val="Compact"/>
      </w:pPr>
      <w:r>
        <w:t xml:space="preserve">Welcome and setting objectives</w:t>
      </w:r>
    </w:p>
    <w:p>
      <w:pPr>
        <w:numPr>
          <w:ilvl w:val="0"/>
          <w:numId w:val="1002"/>
        </w:numPr>
        <w:pStyle w:val="Compact"/>
      </w:pPr>
      <w:r>
        <w:t xml:space="preserve">The importance of communication in workplace integration</w:t>
      </w:r>
    </w:p>
    <w:p>
      <w:pPr>
        <w:numPr>
          <w:ilvl w:val="0"/>
          <w:numId w:val="1002"/>
        </w:numPr>
        <w:pStyle w:val="Compact"/>
      </w:pPr>
      <w:r>
        <w:rPr>
          <w:bCs/>
          <w:b/>
        </w:rPr>
        <w:t xml:space="preserve">Icebreaker Activity:</w:t>
      </w:r>
      <w:r>
        <w:t xml:space="preserve"> </w:t>
      </w:r>
      <w:r>
        <w:t xml:space="preserve">“</w:t>
      </w:r>
      <w:r>
        <w:t xml:space="preserve">My Communication Story</w:t>
      </w:r>
      <w:r>
        <w:t xml:space="preserve">”</w:t>
      </w:r>
    </w:p>
    <w:bookmarkEnd w:id="22"/>
    <w:bookmarkStart w:id="23" w:name="Xaaa3b653581e2f6d53faf4ff163388f3b48c85f"/>
    <w:p>
      <w:pPr>
        <w:pStyle w:val="Heading3"/>
      </w:pPr>
      <w:r>
        <w:t xml:space="preserve">Session 2: Understanding Communication Challenges (1.5 hours)</w:t>
      </w:r>
    </w:p>
    <w:p>
      <w:pPr>
        <w:numPr>
          <w:ilvl w:val="0"/>
          <w:numId w:val="1003"/>
        </w:numPr>
        <w:pStyle w:val="Compact"/>
      </w:pPr>
      <w:r>
        <w:t xml:space="preserve">Language barriers and cultural differences</w:t>
      </w:r>
    </w:p>
    <w:p>
      <w:pPr>
        <w:numPr>
          <w:ilvl w:val="0"/>
          <w:numId w:val="1003"/>
        </w:numPr>
        <w:pStyle w:val="Compact"/>
      </w:pPr>
      <w:r>
        <w:t xml:space="preserve">Professional norms and expectations</w:t>
      </w:r>
    </w:p>
    <w:p>
      <w:pPr>
        <w:numPr>
          <w:ilvl w:val="0"/>
          <w:numId w:val="1003"/>
        </w:numPr>
        <w:pStyle w:val="Compact"/>
      </w:pPr>
      <w:r>
        <w:rPr>
          <w:bCs/>
          <w:b/>
        </w:rPr>
        <w:t xml:space="preserve">Group discussion:</w:t>
      </w:r>
      <w:r>
        <w:t xml:space="preserve"> </w:t>
      </w:r>
      <w:r>
        <w:t xml:space="preserve">Common challenges faced by young migrants</w:t>
      </w:r>
    </w:p>
    <w:bookmarkEnd w:id="23"/>
    <w:bookmarkStart w:id="24" w:name="Xe6a1fde754bf794d8e6b2dd6ff4785c4cb431c2"/>
    <w:p>
      <w:pPr>
        <w:pStyle w:val="Heading3"/>
      </w:pPr>
      <w:r>
        <w:t xml:space="preserve">Session 3: Verbal and Non-Verbal Communication Skills (1.5 hours)</w:t>
      </w:r>
    </w:p>
    <w:p>
      <w:pPr>
        <w:numPr>
          <w:ilvl w:val="0"/>
          <w:numId w:val="1004"/>
        </w:numPr>
        <w:pStyle w:val="Compact"/>
      </w:pPr>
      <w:r>
        <w:t xml:space="preserve">Elements of effective verbal communication</w:t>
      </w:r>
    </w:p>
    <w:p>
      <w:pPr>
        <w:numPr>
          <w:ilvl w:val="0"/>
          <w:numId w:val="1004"/>
        </w:numPr>
        <w:pStyle w:val="Compact"/>
      </w:pPr>
      <w:r>
        <w:t xml:space="preserve">Non-verbal cues and body language</w:t>
      </w:r>
    </w:p>
    <w:p>
      <w:pPr>
        <w:numPr>
          <w:ilvl w:val="0"/>
          <w:numId w:val="1004"/>
        </w:numPr>
        <w:pStyle w:val="Compact"/>
      </w:pPr>
      <w:r>
        <w:rPr>
          <w:bCs/>
          <w:b/>
        </w:rPr>
        <w:t xml:space="preserve">Role-play:</w:t>
      </w:r>
      <w:r>
        <w:t xml:space="preserve"> </w:t>
      </w:r>
      <w:r>
        <w:t xml:space="preserve">Practising workplace conversations</w:t>
      </w:r>
    </w:p>
    <w:bookmarkEnd w:id="24"/>
    <w:bookmarkStart w:id="25" w:name="X94eedb5074ac9591a9314f96d6044a5fca50945"/>
    <w:p>
      <w:pPr>
        <w:pStyle w:val="Heading3"/>
      </w:pPr>
      <w:r>
        <w:t xml:space="preserve">Session 4: Interpersonal Skills and Inclusive Communication (1 hour)</w:t>
      </w:r>
    </w:p>
    <w:p>
      <w:pPr>
        <w:numPr>
          <w:ilvl w:val="0"/>
          <w:numId w:val="1005"/>
        </w:numPr>
        <w:pStyle w:val="Compact"/>
      </w:pPr>
      <w:r>
        <w:t xml:space="preserve">Building respectful and supportive interactions</w:t>
      </w:r>
    </w:p>
    <w:p>
      <w:pPr>
        <w:numPr>
          <w:ilvl w:val="0"/>
          <w:numId w:val="1005"/>
        </w:numPr>
        <w:pStyle w:val="Compact"/>
      </w:pPr>
      <w:r>
        <w:t xml:space="preserve">Active listening techniques</w:t>
      </w:r>
    </w:p>
    <w:p>
      <w:pPr>
        <w:numPr>
          <w:ilvl w:val="0"/>
          <w:numId w:val="1005"/>
        </w:numPr>
        <w:pStyle w:val="Compact"/>
      </w:pPr>
      <w:r>
        <w:rPr>
          <w:bCs/>
          <w:b/>
        </w:rPr>
        <w:t xml:space="preserve">Case study analysis</w:t>
      </w:r>
    </w:p>
    <w:bookmarkEnd w:id="25"/>
    <w:bookmarkStart w:id="26" w:name="Xe18138f1d3e3b39df3bf79f06f2a30d6ee28061"/>
    <w:p>
      <w:pPr>
        <w:pStyle w:val="Heading3"/>
      </w:pPr>
      <w:r>
        <w:t xml:space="preserve">Session 5: Practical Strategies for Workplace Communication (1.5 hours)</w:t>
      </w:r>
    </w:p>
    <w:p>
      <w:pPr>
        <w:numPr>
          <w:ilvl w:val="0"/>
          <w:numId w:val="1006"/>
        </w:numPr>
        <w:pStyle w:val="Compact"/>
      </w:pPr>
      <w:r>
        <w:t xml:space="preserve">Feedback (criticism/appreciation) and conflict management</w:t>
      </w:r>
    </w:p>
    <w:p>
      <w:pPr>
        <w:numPr>
          <w:ilvl w:val="0"/>
          <w:numId w:val="1006"/>
        </w:numPr>
        <w:pStyle w:val="Compact"/>
      </w:pPr>
      <w:r>
        <w:t xml:space="preserve">Communication in diverse teams</w:t>
      </w:r>
    </w:p>
    <w:p>
      <w:pPr>
        <w:numPr>
          <w:ilvl w:val="0"/>
          <w:numId w:val="1006"/>
        </w:numPr>
        <w:pStyle w:val="Compact"/>
      </w:pPr>
      <w:r>
        <w:rPr>
          <w:bCs/>
          <w:b/>
        </w:rPr>
        <w:t xml:space="preserve">Simulation exercises</w:t>
      </w:r>
    </w:p>
    <w:bookmarkEnd w:id="26"/>
    <w:bookmarkStart w:id="27" w:name="X9c9aa82ee82de77c33df852b0f6c03c05e3715b"/>
    <w:p>
      <w:pPr>
        <w:pStyle w:val="Heading3"/>
      </w:pPr>
      <w:r>
        <w:t xml:space="preserve">Session 6: Reflection and Action Planning (1.5 hours)</w:t>
      </w:r>
    </w:p>
    <w:p>
      <w:pPr>
        <w:numPr>
          <w:ilvl w:val="0"/>
          <w:numId w:val="1007"/>
        </w:numPr>
        <w:pStyle w:val="Compact"/>
      </w:pPr>
      <w:r>
        <w:rPr>
          <w:bCs/>
          <w:b/>
        </w:rPr>
        <w:t xml:space="preserve">Self-assessment:</w:t>
      </w:r>
      <w:r>
        <w:t xml:space="preserve"> </w:t>
      </w:r>
      <w:r>
        <w:t xml:space="preserve">Strengths and areas for development in communication</w:t>
      </w:r>
    </w:p>
    <w:p>
      <w:pPr>
        <w:numPr>
          <w:ilvl w:val="0"/>
          <w:numId w:val="1007"/>
        </w:numPr>
        <w:pStyle w:val="Compact"/>
      </w:pPr>
      <w:r>
        <w:t xml:space="preserve">Creating a personal action plan for workplace communication</w:t>
      </w:r>
    </w:p>
    <w:p>
      <w:pPr>
        <w:numPr>
          <w:ilvl w:val="0"/>
          <w:numId w:val="1007"/>
        </w:numPr>
        <w:pStyle w:val="Compact"/>
      </w:pPr>
      <w:r>
        <w:t xml:space="preserve">Closing discussion and feedback</w:t>
      </w:r>
    </w:p>
    <w:bookmarkEnd w:id="27"/>
    <w:bookmarkEnd w:id="28"/>
    <w:bookmarkStart w:id="29" w:name="module-duration"/>
    <w:p>
      <w:pPr>
        <w:pStyle w:val="Heading2"/>
      </w:pPr>
      <w:r>
        <w:t xml:space="preserve">4. Module Duration</w:t>
      </w:r>
    </w:p>
    <w:p>
      <w:pPr>
        <w:pStyle w:val="FirstParagraph"/>
      </w:pPr>
      <w:r>
        <w:rPr>
          <w:bCs/>
          <w:b/>
        </w:rPr>
        <w:t xml:space="preserve">Total Duration:</w:t>
      </w:r>
      <w:r>
        <w:t xml:space="preserve"> </w:t>
      </w:r>
      <w:r>
        <w:t xml:space="preserve">8 Hours</w:t>
      </w:r>
    </w:p>
    <w:p>
      <w:pPr>
        <w:pStyle w:val="BodyText"/>
      </w:pPr>
      <w:r>
        <w:rPr>
          <w:bCs/>
          <w:b/>
        </w:rPr>
        <w:t xml:space="preserve">Suggested Breakdown:</w:t>
      </w:r>
    </w:p>
    <w:p>
      <w:pPr>
        <w:numPr>
          <w:ilvl w:val="0"/>
          <w:numId w:val="1008"/>
        </w:numPr>
        <w:pStyle w:val="Compact"/>
      </w:pPr>
      <w:r>
        <w:t xml:space="preserve">4 hours of theoretical input and guided discussion</w:t>
      </w:r>
    </w:p>
    <w:p>
      <w:pPr>
        <w:numPr>
          <w:ilvl w:val="0"/>
          <w:numId w:val="1008"/>
        </w:numPr>
        <w:pStyle w:val="Compact"/>
      </w:pPr>
      <w:r>
        <w:t xml:space="preserve">4 hours of hands-on learning (case studies, role-play activities, reflection exercises)</w:t>
      </w:r>
    </w:p>
    <w:bookmarkEnd w:id="29"/>
    <w:bookmarkStart w:id="30" w:name="training-methodology-and-approach"/>
    <w:p>
      <w:pPr>
        <w:pStyle w:val="Heading2"/>
      </w:pPr>
      <w:r>
        <w:t xml:space="preserve">5. Training Methodology and Approach</w:t>
      </w:r>
    </w:p>
    <w:p>
      <w:pPr>
        <w:pStyle w:val="FirstParagraph"/>
      </w:pPr>
      <w:r>
        <w:t xml:space="preserve">The module uses an interactive, participant-centred approach to strengthen communication skills. Learning follows a structured sequence that starts from the core principles of workplace communication and progresses towards practical application.</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Pedagogical Principle</w:t>
            </w:r>
          </w:p>
        </w:tc>
        <w:tc>
          <w:tcPr/>
          <w:p>
            <w:pPr>
              <w:pStyle w:val="Compact"/>
              <w:jc w:val="left"/>
            </w:pPr>
            <w:r>
              <w:t xml:space="preserve">Description of Implementation</w:t>
            </w:r>
          </w:p>
        </w:tc>
      </w:tr>
      <w:tr>
        <w:tc>
          <w:tcPr/>
          <w:p>
            <w:pPr>
              <w:pStyle w:val="Compact"/>
              <w:jc w:val="left"/>
            </w:pPr>
            <w:r>
              <w:rPr>
                <w:bCs/>
                <w:b/>
              </w:rPr>
              <w:t xml:space="preserve">Foundations and Discussion</w:t>
            </w:r>
          </w:p>
        </w:tc>
        <w:tc>
          <w:tcPr/>
          <w:p>
            <w:pPr>
              <w:pStyle w:val="Compact"/>
              <w:jc w:val="left"/>
            </w:pPr>
            <w:r>
              <w:t xml:space="preserve">While short presentations introduce key concepts, group discussions deepen understanding and allow participants to share their experiences.</w:t>
            </w:r>
          </w:p>
        </w:tc>
      </w:tr>
      <w:tr>
        <w:tc>
          <w:tcPr/>
          <w:p>
            <w:pPr>
              <w:pStyle w:val="Compact"/>
              <w:jc w:val="left"/>
            </w:pPr>
            <w:r>
              <w:rPr>
                <w:bCs/>
                <w:b/>
              </w:rPr>
              <w:t xml:space="preserve">Realistic Application (Practice)</w:t>
            </w:r>
          </w:p>
        </w:tc>
        <w:tc>
          <w:tcPr/>
          <w:p>
            <w:pPr>
              <w:pStyle w:val="Compact"/>
              <w:jc w:val="left"/>
            </w:pPr>
            <w:r>
              <w:t xml:space="preserve">Case studies and role-play activities simulate real workplace interactions, enabling participants to practise verbal, non-verbal and interpersonal communication.</w:t>
            </w:r>
          </w:p>
        </w:tc>
      </w:tr>
      <w:tr>
        <w:tc>
          <w:tcPr/>
          <w:p>
            <w:pPr>
              <w:pStyle w:val="Compact"/>
              <w:jc w:val="left"/>
            </w:pPr>
            <w:r>
              <w:rPr>
                <w:bCs/>
                <w:b/>
              </w:rPr>
              <w:t xml:space="preserve">Self-Awareness (Reflection)</w:t>
            </w:r>
          </w:p>
        </w:tc>
        <w:tc>
          <w:tcPr/>
          <w:p>
            <w:pPr>
              <w:pStyle w:val="Compact"/>
              <w:jc w:val="left"/>
            </w:pPr>
            <w:r>
              <w:t xml:space="preserve">Reflection exercises help participants assess their own communication styles and identify areas for improvement.</w:t>
            </w:r>
          </w:p>
        </w:tc>
      </w:tr>
      <w:tr>
        <w:tc>
          <w:tcPr/>
          <w:p>
            <w:pPr>
              <w:pStyle w:val="Compact"/>
              <w:jc w:val="left"/>
            </w:pPr>
            <w:r>
              <w:rPr>
                <w:bCs/>
                <w:b/>
              </w:rPr>
              <w:t xml:space="preserve">Safe and Inclusive Environment</w:t>
            </w:r>
          </w:p>
        </w:tc>
        <w:tc>
          <w:tcPr/>
          <w:p>
            <w:pPr>
              <w:pStyle w:val="Compact"/>
              <w:jc w:val="left"/>
            </w:pPr>
            <w:r>
              <w:t xml:space="preserve">By combining theory with hands-on practice, it provides a supportive space for young migrants to build confidence in their communication abilities.</w:t>
            </w:r>
          </w:p>
        </w:tc>
      </w:tr>
    </w:tbl>
    <w:bookmarkEnd w:id="30"/>
    <w:bookmarkStart w:id="31" w:name="materials-needed"/>
    <w:p>
      <w:pPr>
        <w:pStyle w:val="Heading2"/>
      </w:pPr>
      <w:r>
        <w:t xml:space="preserve">6. Materials Needed</w:t>
      </w:r>
    </w:p>
    <w:p>
      <w:pPr>
        <w:numPr>
          <w:ilvl w:val="0"/>
          <w:numId w:val="1009"/>
        </w:numPr>
        <w:pStyle w:val="Compact"/>
      </w:pPr>
      <w:r>
        <w:t xml:space="preserve">Module presentation slides</w:t>
      </w:r>
    </w:p>
    <w:p>
      <w:pPr>
        <w:numPr>
          <w:ilvl w:val="0"/>
          <w:numId w:val="1009"/>
        </w:numPr>
        <w:pStyle w:val="Compact"/>
      </w:pPr>
      <w:r>
        <w:t xml:space="preserve">Participant guide</w:t>
      </w:r>
    </w:p>
    <w:p>
      <w:pPr>
        <w:numPr>
          <w:ilvl w:val="0"/>
          <w:numId w:val="1009"/>
        </w:numPr>
        <w:pStyle w:val="Compact"/>
      </w:pPr>
      <w:r>
        <w:t xml:space="preserve">Case study texts</w:t>
      </w:r>
    </w:p>
    <w:p>
      <w:pPr>
        <w:numPr>
          <w:ilvl w:val="0"/>
          <w:numId w:val="1009"/>
        </w:numPr>
        <w:pStyle w:val="Compact"/>
      </w:pPr>
      <w:r>
        <w:t xml:space="preserve">Role-play scenario cards</w:t>
      </w:r>
    </w:p>
    <w:p>
      <w:pPr>
        <w:numPr>
          <w:ilvl w:val="0"/>
          <w:numId w:val="1009"/>
        </w:numPr>
        <w:pStyle w:val="Compact"/>
      </w:pPr>
      <w:r>
        <w:t xml:space="preserve">Reflection questions and worksheets</w:t>
      </w:r>
    </w:p>
    <w:p>
      <w:pPr>
        <w:numPr>
          <w:ilvl w:val="0"/>
          <w:numId w:val="1009"/>
        </w:numPr>
        <w:pStyle w:val="Compact"/>
      </w:pPr>
      <w:r>
        <w:t xml:space="preserve">Employment-focused adaptability/communication checklist</w:t>
      </w:r>
    </w:p>
    <w:p>
      <w:pPr>
        <w:numPr>
          <w:ilvl w:val="0"/>
          <w:numId w:val="1009"/>
        </w:numPr>
        <w:pStyle w:val="Compact"/>
      </w:pPr>
      <w:r>
        <w:t xml:space="preserve">Flipchart or whiteboard</w:t>
      </w:r>
    </w:p>
    <w:p>
      <w:pPr>
        <w:numPr>
          <w:ilvl w:val="0"/>
          <w:numId w:val="1009"/>
        </w:numPr>
        <w:pStyle w:val="Compact"/>
      </w:pPr>
      <w:r>
        <w:t xml:space="preserve">Optional videos on workplace communication and adaptation</w:t>
      </w:r>
    </w:p>
    <w:bookmarkEnd w:id="31"/>
    <w:bookmarkStart w:id="32" w:name="key-references"/>
    <w:p>
      <w:pPr>
        <w:pStyle w:val="Heading2"/>
      </w:pPr>
      <w:r>
        <w:t xml:space="preserve">7. Key References</w:t>
      </w:r>
    </w:p>
    <w:p>
      <w:pPr>
        <w:numPr>
          <w:ilvl w:val="0"/>
          <w:numId w:val="1010"/>
        </w:numPr>
        <w:pStyle w:val="Compact"/>
      </w:pPr>
      <w:r>
        <w:t xml:space="preserve">Ager, A., &amp; Strang, A. (2008). Understanding integration: A conceptual framework. Journal of Refugee Studies, 21(2), 166-191.</w:t>
      </w:r>
    </w:p>
    <w:p>
      <w:pPr>
        <w:numPr>
          <w:ilvl w:val="0"/>
          <w:numId w:val="1010"/>
        </w:numPr>
        <w:pStyle w:val="Compact"/>
      </w:pPr>
      <w:r>
        <w:t xml:space="preserve">Council of Europe. (2018). Reference framework of competences for democratic culture. Council of Europe Publishing.</w:t>
      </w:r>
    </w:p>
    <w:p>
      <w:pPr>
        <w:numPr>
          <w:ilvl w:val="0"/>
          <w:numId w:val="1010"/>
        </w:numPr>
        <w:pStyle w:val="Compact"/>
      </w:pPr>
      <w:r>
        <w:t xml:space="preserve">European Commission. (2016). A new skills agenda for Europe. European Union.</w:t>
      </w:r>
    </w:p>
    <w:p>
      <w:pPr>
        <w:numPr>
          <w:ilvl w:val="0"/>
          <w:numId w:val="1010"/>
        </w:numPr>
        <w:pStyle w:val="Compact"/>
      </w:pPr>
      <w:r>
        <w:t xml:space="preserve">Goleman, D. (1995). Emotional intelligence. Bantam Books.</w:t>
      </w:r>
    </w:p>
    <w:p>
      <w:pPr>
        <w:numPr>
          <w:ilvl w:val="0"/>
          <w:numId w:val="1010"/>
        </w:numPr>
        <w:pStyle w:val="Compact"/>
      </w:pPr>
      <w:r>
        <w:t xml:space="preserve">Gudykunst, W. B. (2004). Bridging differences: Effective intergroup communication. Sage Publications.</w:t>
      </w:r>
    </w:p>
    <w:p>
      <w:pPr>
        <w:numPr>
          <w:ilvl w:val="0"/>
          <w:numId w:val="1010"/>
        </w:numPr>
        <w:pStyle w:val="Compact"/>
      </w:pPr>
      <w:r>
        <w:t xml:space="preserve">International Labour Organization. (2021). Integrating migrants into labour markets: Policies and practices. ILO.</w:t>
      </w:r>
    </w:p>
    <w:p>
      <w:pPr>
        <w:numPr>
          <w:ilvl w:val="0"/>
          <w:numId w:val="1010"/>
        </w:numPr>
        <w:pStyle w:val="Compact"/>
      </w:pPr>
      <w:r>
        <w:t xml:space="preserve">OECD. (2015). Skills for social progress: The power of social and emotional skills. OECD Publishing.</w:t>
      </w:r>
    </w:p>
    <w:p>
      <w:r>
        <w:pict>
          <v:rect style="width:0;height:1.5pt" o:hralign="center" o:hrstd="t" o:hr="t"/>
        </w:pict>
      </w:r>
    </w:p>
    <w:p>
      <w:pPr>
        <w:pStyle w:val="FirstParagraph"/>
      </w:pPr>
      <w:r>
        <w:rPr>
          <w:bCs/>
          <w:b/>
        </w:rPr>
        <w:t xml:space="preserve">SMILE · Support Young Migrants Integration in the Labour market in Europe</w:t>
      </w:r>
      <w:r>
        <w:br/>
      </w:r>
      <w:r>
        <w:t xml:space="preserve">Erasmus+ KA220-YOU · 2024-1-TR01-KA220-YOU-000256357</w:t>
      </w:r>
      <w:r>
        <w:br/>
      </w:r>
      <w:r>
        <w:t xml:space="preserve">National Agency: Turkish National Agency (TR01)</w:t>
      </w:r>
      <w:r>
        <w:br/>
      </w:r>
      <w:r>
        <w:t xml:space="preserve">Partners: Göç Sanat ve Spor Derneği (MIGARTS), coordinator (Türkiye); KYTTARO ENALLAKTIKON ANAZITISEON NEON (KEAN) (Greece); Work in Progress APS (WiP) (Italy); Smart Leap Education Research Consultancy GmbH (Germany); Association of Entrepreneurship School (AES) (Türkiye); BİR-İZ (Türkiye); Stichting Unity Sphere Europe (SUSE) (Netherlands)</w:t>
      </w:r>
      <w:r>
        <w:br/>
      </w:r>
      <w:r>
        <w:t xml:space="preserve">Learning platform: smile-lms.smartleap.eu</w:t>
      </w:r>
    </w:p>
    <w:p>
      <w:pPr>
        <w:pStyle w:val="BodyText"/>
      </w:pPr>
      <w:r>
        <w:rPr>
          <w:bCs/>
          <w:b/>
        </w:rPr>
        <w:t xml:space="preserve">Co-funded by the European Union.</w:t>
      </w:r>
      <w:r>
        <w:t xml:space="preserve"> </w:t>
      </w:r>
      <w:r>
        <w:t xml:space="preserve">Co-funded by the European Union. Views and opinions expressed are however those of the author(s) only and do not necessarily reflect those of the European Union or the Turkish National Agency. Neither the European Union nor the granting authority can be held responsible for them.</w:t>
      </w:r>
    </w:p>
    <w:bookmarkEnd w:id="32"/>
    <w:bookmarkEnd w:id="33"/>
    <w:sectPr>
      <w:headerReference r:id="rId9" w:type="default"/>
      <w:footerReference r:id="rId10" w:type="default"/>
      <w:pgSz w:h="16838" w:w="11906"/>
      <w:pgMar w:bottom="1417" w:footer="652" w:header="590" w:left="1134" w:right="1134" w:top="181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drawing>
        <wp:inline xmlns:a="http://schemas.openxmlformats.org/drawingml/2006/main" xmlns:pic="http://schemas.openxmlformats.org/drawingml/2006/picture">
          <wp:extent cx="388732" cy="153719"/>
          <wp:docPr id="1" name="Picture 1"/>
          <wp:cNvGraphicFramePr>
            <a:graphicFrameLocks noChangeAspect="1"/>
          </wp:cNvGraphicFramePr>
          <a:graphic>
            <a:graphicData uri="http://schemas.openxmlformats.org/drawingml/2006/picture">
              <pic:pic>
                <pic:nvPicPr>
                  <pic:cNvPr id="0" name="1-migarts.png"/>
                  <pic:cNvPicPr/>
                </pic:nvPicPr>
                <pic:blipFill>
                  <a:blip r:embed="rId1"/>
                  <a:stretch>
                    <a:fillRect/>
                  </a:stretch>
                </pic:blipFill>
                <pic:spPr>
                  <a:xfrm>
                    <a:off x="0" y="0"/>
                    <a:ext cx="388732" cy="153719"/>
                  </a:xfrm>
                  <a:prstGeom prst="rect"/>
                </pic:spPr>
              </pic:pic>
            </a:graphicData>
          </a:graphic>
        </wp:inline>
      </w:drawing>
    </w:r>
    <w:r>
      <w:t xml:space="preserve">    </w:t>
    </w:r>
    <w:r>
      <w:drawing>
        <wp:inline xmlns:a="http://schemas.openxmlformats.org/drawingml/2006/main" xmlns:pic="http://schemas.openxmlformats.org/drawingml/2006/picture">
          <wp:extent cx="267699" cy="222480"/>
          <wp:docPr id="2" name="Picture 2"/>
          <wp:cNvGraphicFramePr>
            <a:graphicFrameLocks noChangeAspect="1"/>
          </wp:cNvGraphicFramePr>
          <a:graphic>
            <a:graphicData uri="http://schemas.openxmlformats.org/drawingml/2006/picture">
              <pic:pic>
                <pic:nvPicPr>
                  <pic:cNvPr id="0" name="2-kean.png"/>
                  <pic:cNvPicPr/>
                </pic:nvPicPr>
                <pic:blipFill>
                  <a:blip r:embed="rId2"/>
                  <a:stretch>
                    <a:fillRect/>
                  </a:stretch>
                </pic:blipFill>
                <pic:spPr>
                  <a:xfrm>
                    <a:off x="0" y="0"/>
                    <a:ext cx="267699" cy="222480"/>
                  </a:xfrm>
                  <a:prstGeom prst="rect"/>
                </pic:spPr>
              </pic:pic>
            </a:graphicData>
          </a:graphic>
        </wp:inline>
      </w:drawing>
    </w:r>
    <w:r>
      <w:t xml:space="preserve">    </w:t>
    </w:r>
    <w:r>
      <w:drawing>
        <wp:inline xmlns:a="http://schemas.openxmlformats.org/drawingml/2006/main" xmlns:pic="http://schemas.openxmlformats.org/drawingml/2006/picture">
          <wp:extent cx="200583" cy="230400"/>
          <wp:docPr id="3" name="Picture 3"/>
          <wp:cNvGraphicFramePr>
            <a:graphicFrameLocks noChangeAspect="1"/>
          </wp:cNvGraphicFramePr>
          <a:graphic>
            <a:graphicData uri="http://schemas.openxmlformats.org/drawingml/2006/picture">
              <pic:pic>
                <pic:nvPicPr>
                  <pic:cNvPr id="0" name="3-wip.png"/>
                  <pic:cNvPicPr/>
                </pic:nvPicPr>
                <pic:blipFill>
                  <a:blip r:embed="rId3"/>
                  <a:stretch>
                    <a:fillRect/>
                  </a:stretch>
                </pic:blipFill>
                <pic:spPr>
                  <a:xfrm>
                    <a:off x="0" y="0"/>
                    <a:ext cx="200583" cy="230400"/>
                  </a:xfrm>
                  <a:prstGeom prst="rect"/>
                </pic:spPr>
              </pic:pic>
            </a:graphicData>
          </a:graphic>
        </wp:inline>
      </w:drawing>
    </w:r>
    <w:r>
      <w:t xml:space="preserve">    </w:t>
    </w:r>
    <w:r>
      <w:drawing>
        <wp:inline xmlns:a="http://schemas.openxmlformats.org/drawingml/2006/main" xmlns:pic="http://schemas.openxmlformats.org/drawingml/2006/picture">
          <wp:extent cx="536947" cy="111240"/>
          <wp:docPr id="4" name="Picture 4"/>
          <wp:cNvGraphicFramePr>
            <a:graphicFrameLocks noChangeAspect="1"/>
          </wp:cNvGraphicFramePr>
          <a:graphic>
            <a:graphicData uri="http://schemas.openxmlformats.org/drawingml/2006/picture">
              <pic:pic>
                <pic:nvPicPr>
                  <pic:cNvPr id="0" name="4-smartleap.png"/>
                  <pic:cNvPicPr/>
                </pic:nvPicPr>
                <pic:blipFill>
                  <a:blip r:embed="rId4"/>
                  <a:stretch>
                    <a:fillRect/>
                  </a:stretch>
                </pic:blipFill>
                <pic:spPr>
                  <a:xfrm>
                    <a:off x="0" y="0"/>
                    <a:ext cx="536947" cy="111240"/>
                  </a:xfrm>
                  <a:prstGeom prst="rect"/>
                </pic:spPr>
              </pic:pic>
            </a:graphicData>
          </a:graphic>
        </wp:inline>
      </w:drawing>
    </w:r>
    <w:r>
      <w:t xml:space="preserve">    </w:t>
    </w:r>
    <w:r>
      <w:drawing>
        <wp:inline xmlns:a="http://schemas.openxmlformats.org/drawingml/2006/main" xmlns:pic="http://schemas.openxmlformats.org/drawingml/2006/picture">
          <wp:extent cx="362421" cy="164520"/>
          <wp:docPr id="5" name="Picture 5"/>
          <wp:cNvGraphicFramePr>
            <a:graphicFrameLocks noChangeAspect="1"/>
          </wp:cNvGraphicFramePr>
          <a:graphic>
            <a:graphicData uri="http://schemas.openxmlformats.org/drawingml/2006/picture">
              <pic:pic>
                <pic:nvPicPr>
                  <pic:cNvPr id="0" name="5-girisimcilik-okulu.png"/>
                  <pic:cNvPicPr/>
                </pic:nvPicPr>
                <pic:blipFill>
                  <a:blip r:embed="rId5"/>
                  <a:stretch>
                    <a:fillRect/>
                  </a:stretch>
                </pic:blipFill>
                <pic:spPr>
                  <a:xfrm>
                    <a:off x="0" y="0"/>
                    <a:ext cx="362421" cy="164520"/>
                  </a:xfrm>
                  <a:prstGeom prst="rect"/>
                </pic:spPr>
              </pic:pic>
            </a:graphicData>
          </a:graphic>
        </wp:inline>
      </w:drawing>
    </w:r>
    <w:r>
      <w:t xml:space="preserve">    </w:t>
    </w:r>
    <w:r>
      <w:drawing>
        <wp:inline xmlns:a="http://schemas.openxmlformats.org/drawingml/2006/main" xmlns:pic="http://schemas.openxmlformats.org/drawingml/2006/picture">
          <wp:extent cx="290272" cy="205560"/>
          <wp:docPr id="6" name="Picture 6"/>
          <wp:cNvGraphicFramePr>
            <a:graphicFrameLocks noChangeAspect="1"/>
          </wp:cNvGraphicFramePr>
          <a:graphic>
            <a:graphicData uri="http://schemas.openxmlformats.org/drawingml/2006/picture">
              <pic:pic>
                <pic:nvPicPr>
                  <pic:cNvPr id="0" name="6-bir-iz.png"/>
                  <pic:cNvPicPr/>
                </pic:nvPicPr>
                <pic:blipFill>
                  <a:blip r:embed="rId6"/>
                  <a:stretch>
                    <a:fillRect/>
                  </a:stretch>
                </pic:blipFill>
                <pic:spPr>
                  <a:xfrm>
                    <a:off x="0" y="0"/>
                    <a:ext cx="290272" cy="205560"/>
                  </a:xfrm>
                  <a:prstGeom prst="rect"/>
                </pic:spPr>
              </pic:pic>
            </a:graphicData>
          </a:graphic>
        </wp:inline>
      </w:drawing>
    </w:r>
    <w:r>
      <w:t xml:space="preserve">    </w:t>
    </w:r>
    <w:r>
      <w:drawing>
        <wp:inline xmlns:a="http://schemas.openxmlformats.org/drawingml/2006/main" xmlns:pic="http://schemas.openxmlformats.org/drawingml/2006/picture">
          <wp:extent cx="474980" cy="125640"/>
          <wp:docPr id="7" name="Picture 7"/>
          <wp:cNvGraphicFramePr>
            <a:graphicFrameLocks noChangeAspect="1"/>
          </wp:cNvGraphicFramePr>
          <a:graphic>
            <a:graphicData uri="http://schemas.openxmlformats.org/drawingml/2006/picture">
              <pic:pic>
                <pic:nvPicPr>
                  <pic:cNvPr id="0" name="7-suse.png"/>
                  <pic:cNvPicPr/>
                </pic:nvPicPr>
                <pic:blipFill>
                  <a:blip r:embed="rId7"/>
                  <a:stretch>
                    <a:fillRect/>
                  </a:stretch>
                </pic:blipFill>
                <pic:spPr>
                  <a:xfrm>
                    <a:off x="0" y="0"/>
                    <a:ext cx="474980" cy="125640"/>
                  </a:xfrm>
                  <a:prstGeom prst="rect"/>
                </pic:spPr>
              </pic:pic>
            </a:graphicData>
          </a:graphic>
        </wp:inline>
      </w:drawing>
    </w:r>
    <w: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Pr>
    <w:r/>
    <w:r>
      <w:drawing>
        <wp:inline xmlns:a="http://schemas.openxmlformats.org/drawingml/2006/main" xmlns:pic="http://schemas.openxmlformats.org/drawingml/2006/picture">
          <wp:extent cx="601128" cy="331200"/>
          <wp:docPr id="1" name="Picture 1"/>
          <wp:cNvGraphicFramePr>
            <a:graphicFrameLocks noChangeAspect="1"/>
          </wp:cNvGraphicFramePr>
          <a:graphic>
            <a:graphicData uri="http://schemas.openxmlformats.org/drawingml/2006/picture">
              <pic:pic>
                <pic:nvPicPr>
                  <pic:cNvPr id="0" name="ab-baskanligi.png"/>
                  <pic:cNvPicPr/>
                </pic:nvPicPr>
                <pic:blipFill>
                  <a:blip r:embed="rId1"/>
                  <a:stretch>
                    <a:fillRect/>
                  </a:stretch>
                </pic:blipFill>
                <pic:spPr>
                  <a:xfrm>
                    <a:off x="0" y="0"/>
                    <a:ext cx="601128" cy="331200"/>
                  </a:xfrm>
                  <a:prstGeom prst="rect"/>
                </pic:spPr>
              </pic:pic>
            </a:graphicData>
          </a:graphic>
        </wp:inline>
      </w:drawing>
    </w:r>
    <w:r>
      <w:t xml:space="preserve">   </w:t>
    </w:r>
    <w:r>
      <w:drawing>
        <wp:inline xmlns:a="http://schemas.openxmlformats.org/drawingml/2006/main" xmlns:pic="http://schemas.openxmlformats.org/drawingml/2006/picture">
          <wp:extent cx="626382" cy="331200"/>
          <wp:docPr id="2" name="Picture 2"/>
          <wp:cNvGraphicFramePr>
            <a:graphicFrameLocks noChangeAspect="1"/>
          </wp:cNvGraphicFramePr>
          <a:graphic>
            <a:graphicData uri="http://schemas.openxmlformats.org/drawingml/2006/picture">
              <pic:pic>
                <pic:nvPicPr>
                  <pic:cNvPr id="0" name="tr-ulusal-ajans.png"/>
                  <pic:cNvPicPr/>
                </pic:nvPicPr>
                <pic:blipFill>
                  <a:blip r:embed="rId2"/>
                  <a:stretch>
                    <a:fillRect/>
                  </a:stretch>
                </pic:blipFill>
                <pic:spPr>
                  <a:xfrm>
                    <a:off x="0" y="0"/>
                    <a:ext cx="626382" cy="331200"/>
                  </a:xfrm>
                  <a:prstGeom prst="rect"/>
                </pic:spPr>
              </pic:pic>
            </a:graphicData>
          </a:graphic>
        </wp:inline>
      </w:drawing>
    </w:r>
    <w:r>
      <w:t xml:space="preserve">   </w:t>
    </w:r>
    <w:r>
      <w:drawing>
        <wp:inline xmlns:a="http://schemas.openxmlformats.org/drawingml/2006/main" xmlns:pic="http://schemas.openxmlformats.org/drawingml/2006/picture">
          <wp:extent cx="2022029" cy="432000"/>
          <wp:docPr id="3" name="Picture 3"/>
          <wp:cNvGraphicFramePr>
            <a:graphicFrameLocks noChangeAspect="1"/>
          </wp:cNvGraphicFramePr>
          <a:graphic>
            <a:graphicData uri="http://schemas.openxmlformats.org/drawingml/2006/picture">
              <pic:pic>
                <pic:nvPicPr>
                  <pic:cNvPr id="0" name="eu-cofunded-en.png"/>
                  <pic:cNvPicPr/>
                </pic:nvPicPr>
                <pic:blipFill>
                  <a:blip r:embed="rId3"/>
                  <a:stretch>
                    <a:fillRect/>
                  </a:stretch>
                </pic:blipFill>
                <pic:spPr>
                  <a:xfrm>
                    <a:off x="0" y="0"/>
                    <a:ext cx="2022029" cy="432000"/>
                  </a:xfrm>
                  <a:prstGeom prst="rect"/>
                </pic:spPr>
              </pic:pic>
            </a:graphicData>
          </a:graphic>
        </wp:inline>
      </w:drawing>
    </w:r>
    <w:r>
      <w:t xml:space="preserve">   </w:t>
    </w:r>
    <w:r>
      <w:tab/>
      <w:drawing>
        <wp:inline xmlns:a="http://schemas.openxmlformats.org/drawingml/2006/main" xmlns:pic="http://schemas.openxmlformats.org/drawingml/2006/picture">
          <wp:extent cx="1250362" cy="360000"/>
          <wp:docPr id="4" name="Picture 4"/>
          <wp:cNvGraphicFramePr>
            <a:graphicFrameLocks noChangeAspect="1"/>
          </wp:cNvGraphicFramePr>
          <a:graphic>
            <a:graphicData uri="http://schemas.openxmlformats.org/drawingml/2006/picture">
              <pic:pic>
                <pic:nvPicPr>
                  <pic:cNvPr id="0" name="smile-logo.png"/>
                  <pic:cNvPicPr/>
                </pic:nvPicPr>
                <pic:blipFill>
                  <a:blip r:embed="rId4"/>
                  <a:stretch>
                    <a:fillRect/>
                  </a:stretch>
                </pic:blipFill>
                <pic:spPr>
                  <a:xfrm>
                    <a:off x="0" y="0"/>
                    <a:ext cx="1250362" cy="360000"/>
                  </a:xfrm>
                  <a:prstGeom prst="rect"/>
                </pic:spPr>
              </pic:pic>
            </a:graphicData>
          </a:graphic>
        </wp:inline>
      </w:drawing>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Montserrat" w:hAnsi="Montserrat"/>
      <w:color w:val="183454"/>
      <w:sz w:val="20"/>
    </w:rPr>
  </w:style>
  <w:style w:styleId="BodyText" w:type="paragraph">
    <w:name w:val="Body Text"/>
    <w:basedOn w:val="Normal"/>
    <w:link w:val="BodyTextChar"/>
    <w:pPr>
      <w:spacing w:after="180" w:before="180"/>
    </w:pPr>
    <w:qFormat/>
    <w:rPr>
      <w:rFonts w:ascii="Montserrat" w:hAnsi="Montserrat"/>
      <w:color w:val="183454"/>
      <w:sz w:val="20"/>
    </w:rPr>
  </w:style>
  <w:style w:customStyle="1" w:styleId="FirstParagraph" w:type="paragraph">
    <w:name w:val="First Paragraph"/>
    <w:basedOn w:val="BodyText"/>
    <w:next w:val="BodyText"/>
    <w:qFormat/>
    <w:rPr>
      <w:rFonts w:ascii="Montserrat" w:hAnsi="Montserrat"/>
      <w:color w:val="183454"/>
      <w:sz w:val="20"/>
    </w:rPr>
  </w:style>
  <w:style w:customStyle="1" w:styleId="Compact" w:type="paragraph">
    <w:name w:val="Compact"/>
    <w:basedOn w:val="BodyText"/>
    <w:qFormat/>
    <w:pPr>
      <w:spacing w:after="36" w:before="36"/>
    </w:pPr>
    <w:rPr>
      <w:rFonts w:ascii="Montserrat" w:hAnsi="Montserrat"/>
      <w:color w:val="183454"/>
      <w:sz w:val="20"/>
    </w:rPr>
  </w:style>
  <w:style w:styleId="Title" w:type="paragraph">
    <w:name w:val="Title"/>
    <w:basedOn w:val="Normal"/>
    <w:next w:val="BodyText"/>
    <w:qFormat/>
    <w:pPr>
      <w:keepNext/>
      <w:keepLines/>
      <w:spacing w:after="240" w:before="480"/>
      <w:jc w:val="center"/>
    </w:pPr>
    <w:rPr>
      <w:rFonts w:ascii="Montserrat" w:asciiTheme="majorHAnsi" w:cstheme="majorBidi" w:eastAsiaTheme="majorEastAsia" w:hAnsi="Montserrat" w:hAnsiTheme="majorHAnsi"/>
      <w:b/>
      <w:bCs/>
      <w:color w:val="183454"/>
      <w:sz w:val="44"/>
      <w:szCs w:val="36"/>
    </w:rPr>
  </w:style>
  <w:style w:styleId="Subtitle" w:type="paragraph">
    <w:name w:val="Subtitle"/>
    <w:basedOn w:val="Title"/>
    <w:next w:val="BodyText"/>
    <w:qFormat/>
    <w:pPr>
      <w:keepNext/>
      <w:keepLines/>
      <w:spacing w:after="240" w:before="240"/>
      <w:jc w:val="center"/>
    </w:pPr>
    <w:rPr>
      <w:rFonts w:ascii="Montserrat" w:hAnsi="Montserrat"/>
      <w:b/>
      <w:color w:val="183454"/>
      <w:sz w:val="26"/>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Montserrat" w:asciiTheme="majorHAnsi" w:cstheme="majorBidi" w:eastAsiaTheme="majorEastAsia" w:hAnsi="Montserrat" w:hAnsiTheme="majorHAnsi"/>
      <w:b/>
      <w:bCs/>
      <w:color w:val="183454"/>
      <w:sz w:val="36"/>
      <w:szCs w:val="32"/>
    </w:rPr>
  </w:style>
  <w:style w:styleId="Heading2" w:type="paragraph">
    <w:name w:val="Heading 2"/>
    <w:basedOn w:val="Normal"/>
    <w:next w:val="BodyText"/>
    <w:uiPriority w:val="9"/>
    <w:unhideWhenUsed/>
    <w:qFormat/>
    <w:pPr>
      <w:keepNext/>
      <w:keepLines/>
      <w:spacing w:after="0" w:before="200"/>
      <w:outlineLvl w:val="1"/>
    </w:pPr>
    <w:rPr>
      <w:rFonts w:ascii="Montserrat" w:asciiTheme="majorHAnsi" w:cstheme="majorBidi" w:eastAsiaTheme="majorEastAsia" w:hAnsi="Montserrat" w:hAnsiTheme="majorHAnsi"/>
      <w:b/>
      <w:bCs/>
      <w:color w:val="183454"/>
      <w:sz w:val="27"/>
      <w:szCs w:val="28"/>
    </w:rPr>
  </w:style>
  <w:style w:styleId="Heading3" w:type="paragraph">
    <w:name w:val="Heading 3"/>
    <w:basedOn w:val="Normal"/>
    <w:next w:val="BodyText"/>
    <w:uiPriority w:val="9"/>
    <w:unhideWhenUsed/>
    <w:qFormat/>
    <w:pPr>
      <w:keepNext/>
      <w:keepLines/>
      <w:spacing w:after="0" w:before="200"/>
      <w:outlineLvl w:val="2"/>
    </w:pPr>
    <w:rPr>
      <w:rFonts w:ascii="Montserrat" w:asciiTheme="majorHAnsi" w:cstheme="majorBidi" w:eastAsiaTheme="majorEastAsia" w:hAnsi="Montserrat" w:hAnsiTheme="majorHAnsi"/>
      <w:b/>
      <w:bCs/>
      <w:color w:val="183454"/>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footer1.xml" Type="http://schemas.openxmlformats.org/officeDocument/2006/relationships/footer" /></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6.png"/><Relationship Id="rId3" Type="http://schemas.openxmlformats.org/officeDocument/2006/relationships/image" Target="media/image7.png"/><Relationship Id="rId4" Type="http://schemas.openxmlformats.org/officeDocument/2006/relationships/image" Target="media/image8.png"/><Relationship Id="rId5" Type="http://schemas.openxmlformats.org/officeDocument/2006/relationships/image" Target="media/image9.png"/><Relationship Id="rId6" Type="http://schemas.openxmlformats.org/officeDocument/2006/relationships/image" Target="media/image10.png"/><Relationship Id="rId7" Type="http://schemas.openxmlformats.org/officeDocument/2006/relationships/image" Target="media/image11.png"/></Relationships>
</file>

<file path=word/_rels/footnotes.xml.rels><?xml version="1.0" encoding="UTF-8"?><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SMILE Curriculum · Module 1: Communication</dc:title>
  <dc:creator/>
  <dc:language>en-GB</dc:language>
  <cp:keywords/>
  <dcterms:created xsi:type="dcterms:W3CDTF">2026-10-01T12:51:05Z</dcterms:created>
  <dcterms:modified xsi:type="dcterms:W3CDTF">2026-10-01T12:51:05Z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English edition · October 2026</vt:lpwstr>
  </property>
</Properties>
</file>